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6C" w:rsidRDefault="00C054F4" w:rsidP="00B43752">
      <w:pPr>
        <w:jc w:val="both"/>
        <w:rPr>
          <w:rFonts w:ascii="Sylfaen" w:hAnsi="Sylfaen" w:cs="Sylfaen"/>
          <w:b/>
          <w:sz w:val="28"/>
          <w:szCs w:val="28"/>
        </w:rPr>
      </w:pPr>
      <w:r w:rsidRPr="0062753E">
        <w:rPr>
          <w:rFonts w:ascii="Sylfaen" w:hAnsi="Sylfaen" w:cs="Sylfaen"/>
          <w:b/>
          <w:sz w:val="28"/>
          <w:szCs w:val="28"/>
        </w:rPr>
        <w:t>იონური</w:t>
      </w:r>
      <w:r w:rsidRPr="0062753E">
        <w:rPr>
          <w:b/>
          <w:sz w:val="28"/>
          <w:szCs w:val="28"/>
        </w:rPr>
        <w:t xml:space="preserve"> </w:t>
      </w:r>
      <w:r w:rsidR="0062753E" w:rsidRPr="0062753E">
        <w:rPr>
          <w:rFonts w:ascii="Sylfaen" w:hAnsi="Sylfaen" w:cs="Sylfaen"/>
          <w:b/>
          <w:sz w:val="28"/>
          <w:szCs w:val="28"/>
        </w:rPr>
        <w:t>ქრომატოგრაფი</w:t>
      </w:r>
      <w:r w:rsidR="00E56178">
        <w:rPr>
          <w:rFonts w:ascii="Sylfaen" w:hAnsi="Sylfaen" w:cs="Sylfaen"/>
          <w:b/>
          <w:sz w:val="28"/>
          <w:szCs w:val="28"/>
        </w:rPr>
        <w:t xml:space="preserve"> (IC)</w:t>
      </w:r>
      <w:r w:rsidR="0062753E" w:rsidRPr="0062753E">
        <w:rPr>
          <w:rFonts w:ascii="Sylfaen" w:hAnsi="Sylfaen" w:cs="Sylfaen"/>
          <w:b/>
          <w:sz w:val="28"/>
          <w:szCs w:val="28"/>
        </w:rPr>
        <w:t xml:space="preserve"> ავტოსემპლერით</w:t>
      </w:r>
      <w:r w:rsidR="0062753E" w:rsidRPr="0062753E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62753E" w:rsidRPr="0062753E">
        <w:rPr>
          <w:rFonts w:ascii="Sylfaen" w:hAnsi="Sylfaen" w:cs="Sylfaen"/>
          <w:b/>
          <w:sz w:val="28"/>
          <w:szCs w:val="28"/>
        </w:rPr>
        <w:t>-</w:t>
      </w:r>
      <w:r w:rsidRPr="0062753E">
        <w:rPr>
          <w:b/>
          <w:sz w:val="28"/>
          <w:szCs w:val="28"/>
        </w:rPr>
        <w:t xml:space="preserve"> </w:t>
      </w:r>
      <w:r w:rsidRPr="0062753E">
        <w:rPr>
          <w:rFonts w:ascii="Sylfaen" w:hAnsi="Sylfaen" w:cs="Sylfaen"/>
          <w:b/>
          <w:sz w:val="28"/>
          <w:szCs w:val="28"/>
        </w:rPr>
        <w:t>ტექნიკური</w:t>
      </w:r>
      <w:r w:rsidRPr="0062753E">
        <w:rPr>
          <w:b/>
          <w:sz w:val="28"/>
          <w:szCs w:val="28"/>
        </w:rPr>
        <w:t xml:space="preserve"> </w:t>
      </w:r>
      <w:r w:rsidRPr="0062753E">
        <w:rPr>
          <w:rFonts w:ascii="Sylfaen" w:hAnsi="Sylfaen" w:cs="Sylfaen"/>
          <w:b/>
          <w:sz w:val="28"/>
          <w:szCs w:val="28"/>
        </w:rPr>
        <w:t>დავალება</w:t>
      </w:r>
    </w:p>
    <w:p w:rsidR="00092540" w:rsidRPr="00B82280" w:rsidRDefault="00092540" w:rsidP="00B43752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ზოგადი ინფორმაცია:</w:t>
      </w:r>
      <w:r w:rsidR="00B82280">
        <w:rPr>
          <w:rFonts w:ascii="Sylfaen" w:hAnsi="Sylfaen"/>
          <w:b/>
        </w:rPr>
        <w:t xml:space="preserve"> </w:t>
      </w:r>
      <w:r w:rsidR="00B82280">
        <w:rPr>
          <w:rFonts w:ascii="Sylfaen" w:hAnsi="Sylfaen"/>
          <w:lang w:val="ka-GE"/>
        </w:rPr>
        <w:t xml:space="preserve">”ჯორჯიან  უოთერ  ენდ  ფაუერი”-ს  ლაბორატორია ახორციელებს სასმელ, ზედაპირულ და მიწისქვეშა </w:t>
      </w:r>
      <w:r w:rsidR="00B82280">
        <w:rPr>
          <w:rFonts w:ascii="Sylfaen" w:eastAsiaTheme="minorEastAsia" w:hAnsi="Sylfaen" w:cs="Sylfaen"/>
          <w:shd w:val="clear" w:color="auto" w:fill="FFFFFF"/>
          <w:lang w:val="ka-GE"/>
        </w:rPr>
        <w:t xml:space="preserve"> წყლის ხარისხის კონტროლს</w:t>
      </w:r>
      <w:r w:rsidR="00B82280">
        <w:rPr>
          <w:rFonts w:ascii="Sylfaen" w:hAnsi="Sylfaen"/>
          <w:lang w:val="ka-GE"/>
        </w:rPr>
        <w:t>. კვლევა ტარდება სხვადასხვა მაჩვენებლებზე, მათ შორის ანიონების შემცველობაზე</w:t>
      </w:r>
      <w:r w:rsidR="00463787">
        <w:rPr>
          <w:rFonts w:ascii="Sylfaen" w:hAnsi="Sylfaen"/>
          <w:lang w:val="ka-GE"/>
        </w:rPr>
        <w:t>.</w:t>
      </w:r>
    </w:p>
    <w:p w:rsidR="00092540" w:rsidRDefault="00092540" w:rsidP="00B4375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მიზანი:</w:t>
      </w:r>
      <w:r w:rsidR="00B82280">
        <w:rPr>
          <w:rFonts w:ascii="Sylfaen" w:hAnsi="Sylfaen"/>
          <w:b/>
          <w:lang w:val="ka-GE"/>
        </w:rPr>
        <w:t xml:space="preserve"> </w:t>
      </w:r>
      <w:r w:rsidR="00B82280">
        <w:rPr>
          <w:rFonts w:ascii="Sylfaen" w:hAnsi="Sylfaen"/>
          <w:lang w:val="ka-GE"/>
        </w:rPr>
        <w:t>იონური ქრომატოგრაფის</w:t>
      </w:r>
      <w:r w:rsidR="00B82280">
        <w:rPr>
          <w:rFonts w:ascii="Sylfaen" w:hAnsi="Sylfaen"/>
        </w:rPr>
        <w:t xml:space="preserve"> </w:t>
      </w:r>
      <w:r w:rsidR="00B82280">
        <w:rPr>
          <w:rFonts w:ascii="Sylfaen" w:hAnsi="Sylfaen"/>
          <w:lang w:val="ka-GE"/>
        </w:rPr>
        <w:t>(</w:t>
      </w:r>
      <w:r w:rsidR="00B82280">
        <w:rPr>
          <w:rFonts w:ascii="Sylfaen" w:hAnsi="Sylfaen"/>
          <w:b/>
        </w:rPr>
        <w:t>I</w:t>
      </w:r>
      <w:r w:rsidR="00B82280">
        <w:rPr>
          <w:rFonts w:ascii="Sylfaen" w:hAnsi="Sylfaen"/>
          <w:b/>
          <w:lang w:val="ka-GE"/>
        </w:rPr>
        <w:t>C</w:t>
      </w:r>
      <w:r w:rsidR="00B82280">
        <w:rPr>
          <w:rFonts w:ascii="Sylfaen" w:hAnsi="Sylfaen"/>
          <w:lang w:val="ka-GE"/>
        </w:rPr>
        <w:t>) საშუალებით</w:t>
      </w:r>
      <w:r w:rsidR="00B82280">
        <w:rPr>
          <w:rFonts w:ascii="Sylfaen" w:hAnsi="Sylfaen"/>
          <w:b/>
          <w:lang w:val="ka-GE"/>
        </w:rPr>
        <w:t xml:space="preserve"> </w:t>
      </w:r>
      <w:r w:rsidR="00B82280">
        <w:rPr>
          <w:rFonts w:ascii="Sylfaen" w:hAnsi="Sylfaen"/>
          <w:lang w:val="ka-GE"/>
        </w:rPr>
        <w:t xml:space="preserve">სასმელ, ზედაპირულ და მიწისქვეშა წყალში ცხრილ </w:t>
      </w:r>
      <w:r w:rsidR="00B82280">
        <w:rPr>
          <w:rFonts w:ascii="Sylfaen" w:hAnsi="Sylfaen"/>
        </w:rPr>
        <w:t>N1</w:t>
      </w:r>
      <w:r w:rsidR="00B82280">
        <w:rPr>
          <w:rFonts w:ascii="Sylfaen" w:hAnsi="Sylfaen"/>
          <w:lang w:val="ka-GE"/>
        </w:rPr>
        <w:t>_ში მოცემული  ანიონების განსაზღვრა.</w:t>
      </w:r>
    </w:p>
    <w:p w:rsidR="00A35EB3" w:rsidRPr="00A35EB3" w:rsidRDefault="00A35EB3" w:rsidP="00B43752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ცხრილი</w:t>
      </w:r>
      <w:r>
        <w:rPr>
          <w:rFonts w:ascii="Sylfaen" w:hAnsi="Sylfaen"/>
        </w:rPr>
        <w:t>N1</w:t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481"/>
        <w:gridCol w:w="3122"/>
        <w:gridCol w:w="1785"/>
        <w:gridCol w:w="2291"/>
        <w:gridCol w:w="1731"/>
      </w:tblGrid>
      <w:tr w:rsidR="00B82280" w:rsidTr="00B15424">
        <w:tc>
          <w:tcPr>
            <w:tcW w:w="481" w:type="dxa"/>
          </w:tcPr>
          <w:p w:rsidR="00B82280" w:rsidRDefault="00B82280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3122" w:type="dxa"/>
          </w:tcPr>
          <w:p w:rsidR="00B82280" w:rsidRDefault="00B82280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პარამეტი</w:t>
            </w:r>
          </w:p>
        </w:tc>
        <w:tc>
          <w:tcPr>
            <w:tcW w:w="1785" w:type="dxa"/>
          </w:tcPr>
          <w:p w:rsidR="00B82280" w:rsidRDefault="00B82280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ზდკ რეგლამენტის მიხედით</w:t>
            </w:r>
          </w:p>
        </w:tc>
        <w:tc>
          <w:tcPr>
            <w:tcW w:w="2291" w:type="dxa"/>
          </w:tcPr>
          <w:p w:rsidR="00B82280" w:rsidRPr="009E42DB" w:rsidRDefault="009E42DB" w:rsidP="00B43752">
            <w:pPr>
              <w:jc w:val="both"/>
              <w:rPr>
                <w:rFonts w:ascii="Sylfaen" w:hAnsi="Sylfaen"/>
                <w:b/>
                <w:vertAlign w:val="superscript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LOD</w:t>
            </w:r>
          </w:p>
          <w:p w:rsidR="009E42DB" w:rsidRDefault="009E42DB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31" w:type="dxa"/>
          </w:tcPr>
          <w:p w:rsidR="00B82280" w:rsidRDefault="00B82280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ერთეული</w:t>
            </w:r>
          </w:p>
        </w:tc>
      </w:tr>
      <w:tr w:rsidR="00EC61E2" w:rsidTr="00B15424">
        <w:tc>
          <w:tcPr>
            <w:tcW w:w="481" w:type="dxa"/>
          </w:tcPr>
          <w:p w:rsidR="00EC61E2" w:rsidRPr="00B15424" w:rsidRDefault="00EC61E2" w:rsidP="00B43752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3122" w:type="dxa"/>
          </w:tcPr>
          <w:p w:rsidR="00EC61E2" w:rsidRPr="006B1753" w:rsidRDefault="00EC61E2" w:rsidP="00B43752">
            <w:pPr>
              <w:jc w:val="both"/>
              <w:rPr>
                <w:rFonts w:ascii="Sylfaen" w:hAnsi="Sylfaen"/>
                <w:lang w:val="ka-GE"/>
              </w:rPr>
            </w:pPr>
            <w:r w:rsidRPr="006B1753">
              <w:rPr>
                <w:rFonts w:ascii="Sylfaen" w:hAnsi="Sylfaen"/>
                <w:lang w:val="ka-GE"/>
              </w:rPr>
              <w:t>ნიტრატები(</w:t>
            </w:r>
            <w:r w:rsidRPr="006B1753">
              <w:rPr>
                <w:rFonts w:ascii="Sylfaen" w:hAnsi="Sylfaen"/>
              </w:rPr>
              <w:t>NO3</w:t>
            </w:r>
            <w:r w:rsidRPr="006B1753">
              <w:rPr>
                <w:rFonts w:ascii="Sylfaen" w:hAnsi="Sylfaen"/>
                <w:vertAlign w:val="superscript"/>
              </w:rPr>
              <w:t>-</w:t>
            </w:r>
            <w:r w:rsidRPr="006B1753">
              <w:rPr>
                <w:rFonts w:ascii="Sylfaen" w:hAnsi="Sylfaen"/>
                <w:lang w:val="ka-GE"/>
              </w:rPr>
              <w:t xml:space="preserve"> )</w:t>
            </w:r>
          </w:p>
        </w:tc>
        <w:tc>
          <w:tcPr>
            <w:tcW w:w="1785" w:type="dxa"/>
          </w:tcPr>
          <w:p w:rsidR="00EC61E2" w:rsidRDefault="00EC61E2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1753">
              <w:rPr>
                <w:rFonts w:ascii="Sylfaen" w:hAnsi="Sylfaen"/>
              </w:rPr>
              <w:t>50</w:t>
            </w:r>
            <w:r w:rsidR="00556CC0">
              <w:rPr>
                <w:rFonts w:ascii="Sylfaen" w:hAnsi="Sylfaen"/>
              </w:rPr>
              <w:t xml:space="preserve"> (0,10)</w:t>
            </w:r>
          </w:p>
        </w:tc>
        <w:tc>
          <w:tcPr>
            <w:tcW w:w="2291" w:type="dxa"/>
          </w:tcPr>
          <w:p w:rsidR="00EC61E2" w:rsidRPr="00161381" w:rsidRDefault="00161381" w:rsidP="00B43752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0,0</w:t>
            </w:r>
            <w:r w:rsidR="00B07165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</w:rPr>
              <w:t xml:space="preserve"> (10%)</w:t>
            </w:r>
          </w:p>
        </w:tc>
        <w:tc>
          <w:tcPr>
            <w:tcW w:w="1731" w:type="dxa"/>
          </w:tcPr>
          <w:p w:rsidR="00EC61E2" w:rsidRDefault="00EC61E2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1753">
              <w:rPr>
                <w:rFonts w:ascii="Sylfaen" w:hAnsi="Sylfaen"/>
                <w:lang w:val="ka-GE"/>
              </w:rPr>
              <w:t>მგ/ლ</w:t>
            </w:r>
          </w:p>
        </w:tc>
      </w:tr>
      <w:tr w:rsidR="00A52BD3" w:rsidTr="00B15424">
        <w:tc>
          <w:tcPr>
            <w:tcW w:w="481" w:type="dxa"/>
          </w:tcPr>
          <w:p w:rsidR="00A52BD3" w:rsidRPr="00B15424" w:rsidRDefault="00A52BD3" w:rsidP="00B43752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3122" w:type="dxa"/>
          </w:tcPr>
          <w:p w:rsidR="00A52BD3" w:rsidRPr="006B1753" w:rsidRDefault="00A52BD3" w:rsidP="00B43752">
            <w:pPr>
              <w:jc w:val="both"/>
              <w:rPr>
                <w:rFonts w:ascii="Sylfaen" w:hAnsi="Sylfaen"/>
                <w:vertAlign w:val="superscript"/>
                <w:lang w:val="ka-GE"/>
              </w:rPr>
            </w:pPr>
            <w:r w:rsidRPr="006B1753">
              <w:rPr>
                <w:rFonts w:ascii="Sylfaen" w:hAnsi="Sylfaen"/>
                <w:lang w:val="ka-GE"/>
              </w:rPr>
              <w:t>ნიტრიტები(</w:t>
            </w:r>
            <w:r w:rsidRPr="006B1753">
              <w:rPr>
                <w:rFonts w:ascii="Sylfaen" w:hAnsi="Sylfaen"/>
              </w:rPr>
              <w:t>NO2</w:t>
            </w:r>
            <w:r w:rsidRPr="006B1753">
              <w:rPr>
                <w:rFonts w:ascii="Sylfaen" w:hAnsi="Sylfaen"/>
                <w:vertAlign w:val="superscript"/>
              </w:rPr>
              <w:t>-</w:t>
            </w:r>
            <w:r w:rsidRPr="006B1753">
              <w:rPr>
                <w:rFonts w:ascii="Sylfaen" w:hAnsi="Sylfaen"/>
                <w:vertAlign w:val="superscript"/>
                <w:lang w:val="ka-GE"/>
              </w:rPr>
              <w:t xml:space="preserve">  </w:t>
            </w:r>
            <w:r w:rsidRPr="006B1753">
              <w:rPr>
                <w:rFonts w:ascii="Sylfaen" w:hAnsi="Sylfaen"/>
                <w:lang w:val="ka-GE"/>
              </w:rPr>
              <w:t>)</w:t>
            </w:r>
            <w:r w:rsidRPr="006B1753">
              <w:rPr>
                <w:rFonts w:ascii="Sylfaen" w:hAnsi="Sylfaen"/>
                <w:vertAlign w:val="superscript"/>
                <w:lang w:val="ka-GE"/>
              </w:rPr>
              <w:t xml:space="preserve">    </w:t>
            </w:r>
          </w:p>
        </w:tc>
        <w:tc>
          <w:tcPr>
            <w:tcW w:w="1785" w:type="dxa"/>
          </w:tcPr>
          <w:p w:rsidR="00A52BD3" w:rsidRPr="00556CC0" w:rsidRDefault="0082737E" w:rsidP="00B43752">
            <w:pPr>
              <w:jc w:val="both"/>
              <w:rPr>
                <w:rFonts w:ascii="Sylfaen" w:hAnsi="Sylfaen"/>
                <w:b/>
              </w:rPr>
            </w:pPr>
            <w:r w:rsidRPr="0082737E">
              <w:rPr>
                <w:rFonts w:ascii="Sylfaen" w:hAnsi="Sylfaen"/>
                <w:lang w:val="ka-GE"/>
              </w:rPr>
              <w:t>0,50</w:t>
            </w:r>
            <w:r w:rsidR="00556CC0">
              <w:rPr>
                <w:rFonts w:ascii="Sylfaen" w:hAnsi="Sylfaen"/>
              </w:rPr>
              <w:t xml:space="preserve"> (0,10)</w:t>
            </w:r>
          </w:p>
        </w:tc>
        <w:tc>
          <w:tcPr>
            <w:tcW w:w="2291" w:type="dxa"/>
          </w:tcPr>
          <w:p w:rsidR="00A52BD3" w:rsidRPr="00161381" w:rsidRDefault="00161381" w:rsidP="00B43752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0,0</w:t>
            </w:r>
            <w:r w:rsidR="00B07165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</w:rPr>
              <w:t xml:space="preserve"> (10%)</w:t>
            </w:r>
          </w:p>
        </w:tc>
        <w:tc>
          <w:tcPr>
            <w:tcW w:w="1731" w:type="dxa"/>
          </w:tcPr>
          <w:p w:rsidR="00A52BD3" w:rsidRDefault="00EC61E2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1753">
              <w:rPr>
                <w:rFonts w:ascii="Sylfaen" w:hAnsi="Sylfaen"/>
                <w:lang w:val="ka-GE"/>
              </w:rPr>
              <w:t>მგ/ლ</w:t>
            </w:r>
          </w:p>
        </w:tc>
      </w:tr>
      <w:tr w:rsidR="00EC61E2" w:rsidTr="00B15424">
        <w:tc>
          <w:tcPr>
            <w:tcW w:w="481" w:type="dxa"/>
          </w:tcPr>
          <w:p w:rsidR="00EC61E2" w:rsidRPr="00B15424" w:rsidRDefault="00EC61E2" w:rsidP="00B43752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3122" w:type="dxa"/>
          </w:tcPr>
          <w:p w:rsidR="00EC61E2" w:rsidRPr="00B43752" w:rsidRDefault="00EC61E2" w:rsidP="00B43752">
            <w:pPr>
              <w:jc w:val="both"/>
              <w:rPr>
                <w:rFonts w:ascii="Sylfaen" w:hAnsi="Sylfaen"/>
                <w:lang w:val="ka-GE"/>
              </w:rPr>
            </w:pPr>
            <w:r w:rsidRPr="00B43752">
              <w:rPr>
                <w:rFonts w:ascii="Sylfaen" w:hAnsi="Sylfaen"/>
                <w:lang w:val="ka-GE"/>
              </w:rPr>
              <w:t>სულფატები (</w:t>
            </w:r>
            <w:r w:rsidRPr="00B43752">
              <w:rPr>
                <w:rFonts w:ascii="Sylfaen" w:hAnsi="Sylfaen"/>
              </w:rPr>
              <w:t>SO4</w:t>
            </w:r>
            <w:r w:rsidRPr="00B43752">
              <w:rPr>
                <w:rFonts w:ascii="Sylfaen" w:hAnsi="Sylfaen"/>
                <w:vertAlign w:val="superscript"/>
              </w:rPr>
              <w:t>-</w:t>
            </w:r>
            <w:r w:rsidRPr="00B43752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785" w:type="dxa"/>
          </w:tcPr>
          <w:p w:rsidR="00EC61E2" w:rsidRDefault="00EC61E2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1753">
              <w:rPr>
                <w:rFonts w:ascii="Sylfaen" w:hAnsi="Sylfaen"/>
                <w:lang w:val="ka-GE"/>
              </w:rPr>
              <w:t>250</w:t>
            </w:r>
          </w:p>
        </w:tc>
        <w:tc>
          <w:tcPr>
            <w:tcW w:w="2291" w:type="dxa"/>
          </w:tcPr>
          <w:p w:rsidR="00B07165" w:rsidRPr="00161381" w:rsidRDefault="00161381" w:rsidP="00B43752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25</w:t>
            </w:r>
            <w:r w:rsidR="00B07165">
              <w:rPr>
                <w:rFonts w:ascii="Sylfaen" w:hAnsi="Sylfaen"/>
                <w:b/>
              </w:rPr>
              <w:t xml:space="preserve"> (10%)</w:t>
            </w:r>
          </w:p>
        </w:tc>
        <w:tc>
          <w:tcPr>
            <w:tcW w:w="1731" w:type="dxa"/>
          </w:tcPr>
          <w:p w:rsidR="00EC61E2" w:rsidRDefault="00EC61E2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1753">
              <w:rPr>
                <w:rFonts w:ascii="Sylfaen" w:hAnsi="Sylfaen"/>
                <w:lang w:val="ka-GE"/>
              </w:rPr>
              <w:t>მგ/ლ</w:t>
            </w:r>
          </w:p>
        </w:tc>
      </w:tr>
      <w:tr w:rsidR="00EC61E2" w:rsidTr="00B15424">
        <w:tc>
          <w:tcPr>
            <w:tcW w:w="481" w:type="dxa"/>
          </w:tcPr>
          <w:p w:rsidR="00EC61E2" w:rsidRPr="00581280" w:rsidRDefault="00581280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122" w:type="dxa"/>
          </w:tcPr>
          <w:p w:rsidR="00EC61E2" w:rsidRPr="00B43752" w:rsidRDefault="00EC61E2" w:rsidP="00B43752">
            <w:pPr>
              <w:jc w:val="both"/>
              <w:rPr>
                <w:rFonts w:ascii="Sylfaen" w:hAnsi="Sylfaen"/>
                <w:b/>
                <w:vertAlign w:val="superscript"/>
                <w:lang w:val="ka-GE"/>
              </w:rPr>
            </w:pPr>
            <w:r w:rsidRPr="00B43752">
              <w:rPr>
                <w:rFonts w:ascii="Sylfaen" w:hAnsi="Sylfaen"/>
                <w:lang w:val="ka-GE"/>
              </w:rPr>
              <w:t>ციანიდბი</w:t>
            </w:r>
            <w:r w:rsidR="002B7320" w:rsidRPr="00B43752">
              <w:rPr>
                <w:rFonts w:ascii="Sylfaen" w:hAnsi="Sylfaen"/>
                <w:lang w:val="ka-GE"/>
              </w:rPr>
              <w:t xml:space="preserve"> (</w:t>
            </w:r>
            <w:r w:rsidR="00124475" w:rsidRPr="00B43752">
              <w:rPr>
                <w:rFonts w:ascii="Sylfaen" w:hAnsi="Sylfaen"/>
                <w:lang w:val="ka-GE"/>
              </w:rPr>
              <w:t>საერთო</w:t>
            </w:r>
            <w:r w:rsidR="002B7320" w:rsidRPr="00B43752">
              <w:rPr>
                <w:rFonts w:ascii="Sylfaen" w:hAnsi="Sylfaen"/>
                <w:lang w:val="ka-GE"/>
              </w:rPr>
              <w:t xml:space="preserve"> და იონური ფორმით)</w:t>
            </w:r>
            <w:r w:rsidRPr="00B43752">
              <w:rPr>
                <w:rFonts w:ascii="Sylfaen" w:hAnsi="Sylfaen"/>
                <w:lang w:val="ka-GE"/>
              </w:rPr>
              <w:t xml:space="preserve"> (</w:t>
            </w:r>
            <w:r w:rsidRPr="00B43752">
              <w:rPr>
                <w:rFonts w:ascii="Sylfaen" w:hAnsi="Sylfaen"/>
              </w:rPr>
              <w:t>CN</w:t>
            </w:r>
            <w:r w:rsidRPr="00B43752">
              <w:rPr>
                <w:rFonts w:ascii="Sylfaen" w:hAnsi="Sylfaen"/>
                <w:vertAlign w:val="superscript"/>
              </w:rPr>
              <w:t>-</w:t>
            </w:r>
            <w:r w:rsidRPr="00B43752">
              <w:rPr>
                <w:rFonts w:ascii="Sylfaen" w:hAnsi="Sylfaen"/>
                <w:lang w:val="ka-GE"/>
              </w:rPr>
              <w:t xml:space="preserve"> )</w:t>
            </w:r>
          </w:p>
        </w:tc>
        <w:tc>
          <w:tcPr>
            <w:tcW w:w="1785" w:type="dxa"/>
          </w:tcPr>
          <w:p w:rsidR="00EC61E2" w:rsidRDefault="00EC61E2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B1753"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2291" w:type="dxa"/>
          </w:tcPr>
          <w:p w:rsidR="00EC61E2" w:rsidRPr="00161381" w:rsidRDefault="00B07165" w:rsidP="00B43752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5 </w:t>
            </w:r>
            <w:r w:rsidR="00161381">
              <w:rPr>
                <w:rFonts w:ascii="Sylfaen" w:hAnsi="Sylfaen"/>
                <w:b/>
              </w:rPr>
              <w:t>(10%)</w:t>
            </w:r>
          </w:p>
        </w:tc>
        <w:tc>
          <w:tcPr>
            <w:tcW w:w="1731" w:type="dxa"/>
          </w:tcPr>
          <w:p w:rsidR="00EC61E2" w:rsidRPr="006B1753" w:rsidRDefault="00EC61E2" w:rsidP="00B43752">
            <w:pPr>
              <w:jc w:val="both"/>
              <w:rPr>
                <w:rFonts w:ascii="Sylfaen" w:hAnsi="Sylfaen"/>
                <w:lang w:val="ka-GE"/>
              </w:rPr>
            </w:pPr>
            <w:r w:rsidRPr="006B1753">
              <w:rPr>
                <w:rFonts w:ascii="Sylfaen" w:hAnsi="Sylfaen"/>
                <w:lang w:val="ka-GE"/>
              </w:rPr>
              <w:t>მკგ/ლ</w:t>
            </w:r>
          </w:p>
        </w:tc>
      </w:tr>
      <w:tr w:rsidR="00081A3A" w:rsidTr="00B15424">
        <w:tc>
          <w:tcPr>
            <w:tcW w:w="481" w:type="dxa"/>
          </w:tcPr>
          <w:p w:rsidR="00081A3A" w:rsidRPr="00581280" w:rsidRDefault="00581280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122" w:type="dxa"/>
          </w:tcPr>
          <w:p w:rsidR="00081A3A" w:rsidRPr="00B43752" w:rsidRDefault="00081A3A" w:rsidP="00B43752">
            <w:pPr>
              <w:jc w:val="both"/>
              <w:rPr>
                <w:rFonts w:ascii="Sylfaen" w:hAnsi="Sylfaen"/>
                <w:lang w:val="ka-GE"/>
              </w:rPr>
            </w:pPr>
            <w:r w:rsidRPr="00B43752">
              <w:rPr>
                <w:rFonts w:ascii="Sylfaen" w:hAnsi="Sylfaen"/>
                <w:lang w:val="ka-GE"/>
              </w:rPr>
              <w:t>ქლორიდები (</w:t>
            </w:r>
            <w:r w:rsidRPr="00B43752">
              <w:rPr>
                <w:rFonts w:ascii="Sylfaen" w:hAnsi="Sylfaen"/>
              </w:rPr>
              <w:t>Cl</w:t>
            </w:r>
            <w:r w:rsidRPr="00B43752">
              <w:rPr>
                <w:rFonts w:ascii="Sylfaen" w:hAnsi="Sylfaen"/>
                <w:vertAlign w:val="superscript"/>
              </w:rPr>
              <w:t>-</w:t>
            </w:r>
            <w:r w:rsidRPr="00B43752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785" w:type="dxa"/>
          </w:tcPr>
          <w:p w:rsidR="00081A3A" w:rsidRPr="006B1753" w:rsidRDefault="00081A3A" w:rsidP="00B43752">
            <w:pPr>
              <w:jc w:val="both"/>
              <w:rPr>
                <w:rFonts w:ascii="Sylfaen" w:hAnsi="Sylfaen"/>
                <w:lang w:val="ka-GE"/>
              </w:rPr>
            </w:pPr>
            <w:r w:rsidRPr="006B1753">
              <w:rPr>
                <w:rFonts w:ascii="Sylfaen" w:hAnsi="Sylfaen"/>
                <w:lang w:val="ka-GE"/>
              </w:rPr>
              <w:t>250</w:t>
            </w:r>
          </w:p>
        </w:tc>
        <w:tc>
          <w:tcPr>
            <w:tcW w:w="2291" w:type="dxa"/>
          </w:tcPr>
          <w:p w:rsidR="00081A3A" w:rsidRPr="00161381" w:rsidRDefault="00161381" w:rsidP="00B43752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25</w:t>
            </w:r>
            <w:r w:rsidR="00B07165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(10%)</w:t>
            </w:r>
          </w:p>
        </w:tc>
        <w:tc>
          <w:tcPr>
            <w:tcW w:w="1731" w:type="dxa"/>
          </w:tcPr>
          <w:p w:rsidR="00081A3A" w:rsidRPr="006B1753" w:rsidRDefault="00081A3A" w:rsidP="00B43752">
            <w:pPr>
              <w:jc w:val="both"/>
              <w:rPr>
                <w:rFonts w:ascii="Sylfaen" w:hAnsi="Sylfaen"/>
                <w:lang w:val="ka-GE"/>
              </w:rPr>
            </w:pPr>
            <w:r w:rsidRPr="006B1753">
              <w:rPr>
                <w:rFonts w:ascii="Sylfaen" w:hAnsi="Sylfaen"/>
                <w:lang w:val="ka-GE"/>
              </w:rPr>
              <w:t>მგ/ლ</w:t>
            </w:r>
          </w:p>
        </w:tc>
      </w:tr>
      <w:tr w:rsidR="00081A3A" w:rsidTr="00B15424">
        <w:tc>
          <w:tcPr>
            <w:tcW w:w="481" w:type="dxa"/>
          </w:tcPr>
          <w:p w:rsidR="00081A3A" w:rsidRPr="00581280" w:rsidRDefault="00581280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122" w:type="dxa"/>
          </w:tcPr>
          <w:p w:rsidR="00081A3A" w:rsidRPr="00B43752" w:rsidRDefault="00081A3A" w:rsidP="00B43752">
            <w:pPr>
              <w:jc w:val="both"/>
              <w:rPr>
                <w:rFonts w:ascii="Sylfaen" w:hAnsi="Sylfaen"/>
              </w:rPr>
            </w:pPr>
            <w:r w:rsidRPr="00B43752">
              <w:rPr>
                <w:rFonts w:ascii="Sylfaen" w:hAnsi="Sylfaen"/>
              </w:rPr>
              <w:t>ფტორიდები (F -)</w:t>
            </w:r>
          </w:p>
        </w:tc>
        <w:tc>
          <w:tcPr>
            <w:tcW w:w="1785" w:type="dxa"/>
          </w:tcPr>
          <w:p w:rsidR="00081A3A" w:rsidRPr="006B1753" w:rsidRDefault="00190B72" w:rsidP="00B43752">
            <w:pPr>
              <w:jc w:val="both"/>
              <w:rPr>
                <w:rFonts w:ascii="Sylfaen" w:hAnsi="Sylfaen"/>
                <w:lang w:val="ka-GE"/>
              </w:rPr>
            </w:pPr>
            <w:r w:rsidRPr="00190B72">
              <w:rPr>
                <w:rFonts w:ascii="Sylfaen" w:hAnsi="Sylfaen"/>
                <w:lang w:val="ka-GE"/>
              </w:rPr>
              <w:t>1,5</w:t>
            </w:r>
          </w:p>
        </w:tc>
        <w:tc>
          <w:tcPr>
            <w:tcW w:w="2291" w:type="dxa"/>
          </w:tcPr>
          <w:p w:rsidR="00081A3A" w:rsidRPr="00161381" w:rsidRDefault="00B07165" w:rsidP="00B43752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0,15 </w:t>
            </w:r>
            <w:r w:rsidR="00161381">
              <w:rPr>
                <w:rFonts w:ascii="Sylfaen" w:hAnsi="Sylfaen"/>
                <w:b/>
              </w:rPr>
              <w:t>(10%)</w:t>
            </w:r>
          </w:p>
        </w:tc>
        <w:tc>
          <w:tcPr>
            <w:tcW w:w="1731" w:type="dxa"/>
          </w:tcPr>
          <w:p w:rsidR="00081A3A" w:rsidRPr="006B1753" w:rsidRDefault="00081A3A" w:rsidP="00B43752">
            <w:pPr>
              <w:jc w:val="both"/>
              <w:rPr>
                <w:rFonts w:ascii="Sylfaen" w:hAnsi="Sylfaen"/>
                <w:lang w:val="ka-GE"/>
              </w:rPr>
            </w:pPr>
            <w:r w:rsidRPr="006B1753">
              <w:rPr>
                <w:rFonts w:ascii="Sylfaen" w:hAnsi="Sylfaen"/>
                <w:lang w:val="ka-GE"/>
              </w:rPr>
              <w:t>მგ/ლ</w:t>
            </w:r>
          </w:p>
        </w:tc>
      </w:tr>
      <w:tr w:rsidR="002136EB" w:rsidTr="00B15424">
        <w:tc>
          <w:tcPr>
            <w:tcW w:w="481" w:type="dxa"/>
          </w:tcPr>
          <w:p w:rsidR="002136EB" w:rsidRDefault="002136EB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122" w:type="dxa"/>
          </w:tcPr>
          <w:p w:rsidR="002136EB" w:rsidRPr="00B43752" w:rsidRDefault="002136EB" w:rsidP="00B43752">
            <w:pPr>
              <w:jc w:val="both"/>
              <w:rPr>
                <w:rFonts w:ascii="Sylfaen" w:hAnsi="Sylfaen"/>
              </w:rPr>
            </w:pPr>
            <w:r w:rsidRPr="00B43752">
              <w:rPr>
                <w:rFonts w:ascii="Sylfaen" w:hAnsi="Sylfaen"/>
                <w:lang w:val="ka-GE"/>
              </w:rPr>
              <w:t>ფოსფატები(</w:t>
            </w:r>
            <w:r w:rsidRPr="00B43752">
              <w:rPr>
                <w:rFonts w:ascii="Sylfaen" w:hAnsi="Sylfaen"/>
              </w:rPr>
              <w:t>PO4</w:t>
            </w:r>
            <w:r w:rsidRPr="00B43752">
              <w:rPr>
                <w:rFonts w:ascii="Sylfaen" w:hAnsi="Sylfaen"/>
                <w:vertAlign w:val="superscript"/>
              </w:rPr>
              <w:t>-</w:t>
            </w:r>
            <w:r w:rsidRPr="00B43752">
              <w:rPr>
                <w:rFonts w:ascii="Sylfaen" w:hAnsi="Sylfaen"/>
                <w:lang w:val="ka-GE"/>
              </w:rPr>
              <w:t xml:space="preserve"> )</w:t>
            </w:r>
          </w:p>
        </w:tc>
        <w:tc>
          <w:tcPr>
            <w:tcW w:w="1785" w:type="dxa"/>
          </w:tcPr>
          <w:p w:rsidR="002136EB" w:rsidRPr="00190B72" w:rsidRDefault="004F4E05" w:rsidP="00B4375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3,5</w:t>
            </w:r>
          </w:p>
        </w:tc>
        <w:tc>
          <w:tcPr>
            <w:tcW w:w="2291" w:type="dxa"/>
          </w:tcPr>
          <w:p w:rsidR="002136EB" w:rsidRPr="004F4E05" w:rsidRDefault="00B07165" w:rsidP="00B4375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0,35</w:t>
            </w:r>
            <w:r w:rsidR="004F4E05">
              <w:rPr>
                <w:rFonts w:ascii="Sylfaen" w:hAnsi="Sylfaen"/>
                <w:b/>
                <w:lang w:val="ka-GE"/>
              </w:rPr>
              <w:t xml:space="preserve"> (</w:t>
            </w:r>
            <w:r>
              <w:rPr>
                <w:rFonts w:ascii="Sylfaen" w:hAnsi="Sylfaen"/>
                <w:b/>
              </w:rPr>
              <w:t>1</w:t>
            </w:r>
            <w:r w:rsidR="004F4E05">
              <w:rPr>
                <w:rFonts w:ascii="Sylfaen" w:hAnsi="Sylfaen"/>
                <w:b/>
                <w:lang w:val="ka-GE"/>
              </w:rPr>
              <w:t>0%)</w:t>
            </w:r>
          </w:p>
        </w:tc>
        <w:tc>
          <w:tcPr>
            <w:tcW w:w="1731" w:type="dxa"/>
          </w:tcPr>
          <w:p w:rsidR="002136EB" w:rsidRPr="004F4E05" w:rsidRDefault="002136EB" w:rsidP="00B43752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მგ/ლ</w:t>
            </w:r>
          </w:p>
        </w:tc>
      </w:tr>
    </w:tbl>
    <w:p w:rsidR="008F2D28" w:rsidRDefault="008F2D28" w:rsidP="00B43752">
      <w:pPr>
        <w:jc w:val="both"/>
        <w:rPr>
          <w:rFonts w:ascii="Sylfaen" w:hAnsi="Sylfaen"/>
          <w:b/>
          <w:lang w:val="ka-GE"/>
        </w:rPr>
      </w:pPr>
    </w:p>
    <w:p w:rsidR="0087624B" w:rsidRDefault="00092540" w:rsidP="00B43752">
      <w:pPr>
        <w:jc w:val="both"/>
        <w:rPr>
          <w:rFonts w:ascii="Sylfaen" w:hAnsi="Sylfaen"/>
          <w:b/>
          <w:szCs w:val="20"/>
          <w:lang w:val="ka-GE"/>
        </w:rPr>
      </w:pPr>
      <w:r w:rsidRPr="00092540">
        <w:rPr>
          <w:rFonts w:ascii="Sylfaen" w:hAnsi="Sylfaen"/>
          <w:b/>
          <w:szCs w:val="20"/>
          <w:lang w:val="ka-GE"/>
        </w:rPr>
        <w:t>ტექნიკური მონაცემები და სპეციფიკაცია:</w:t>
      </w:r>
    </w:p>
    <w:p w:rsidR="00092540" w:rsidRPr="00610B2A" w:rsidRDefault="0087624B" w:rsidP="00B43752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>იონური ქრომატოგრაფი (</w:t>
      </w:r>
      <w:r w:rsidRPr="0087624B">
        <w:rPr>
          <w:rFonts w:ascii="Sylfaen" w:hAnsi="Sylfaen"/>
          <w:b/>
          <w:szCs w:val="20"/>
        </w:rPr>
        <w:t>IC</w:t>
      </w:r>
      <w:r>
        <w:rPr>
          <w:rFonts w:ascii="Sylfaen" w:hAnsi="Sylfaen"/>
          <w:szCs w:val="20"/>
        </w:rPr>
        <w:t>)</w:t>
      </w:r>
      <w:r>
        <w:rPr>
          <w:rFonts w:ascii="Sylfaen" w:hAnsi="Sylfaen"/>
          <w:szCs w:val="20"/>
          <w:lang w:val="ka-GE"/>
        </w:rPr>
        <w:t>; ანიონების საანალიზო და დამცავი სვეტებით; ციანიდების საანალიზო და დამცავი სვეტებით</w:t>
      </w:r>
      <w:r w:rsidR="00477225">
        <w:rPr>
          <w:rFonts w:ascii="Sylfaen" w:hAnsi="Sylfaen"/>
          <w:szCs w:val="20"/>
          <w:lang w:val="ka-GE"/>
        </w:rPr>
        <w:t>;</w:t>
      </w:r>
      <w:r w:rsidR="00696651">
        <w:rPr>
          <w:rFonts w:ascii="Sylfaen" w:hAnsi="Sylfaen"/>
          <w:szCs w:val="20"/>
          <w:lang w:val="ka-GE"/>
        </w:rPr>
        <w:t xml:space="preserve"> საინჟექციო მოდულის ნაკრებით. მოდული უნდა შედგებოდეს საკუთრივ გადამრთველი ონკანისგან, მარყუჟისგან და ნაკადების სამართავი პორტებისგან; დეგაზატორის ნაკრებით; ელუენტის ტუმბოებით; </w:t>
      </w:r>
      <w:r w:rsidR="00767F51">
        <w:rPr>
          <w:rFonts w:ascii="Sylfaen" w:hAnsi="Sylfaen"/>
          <w:szCs w:val="20"/>
        </w:rPr>
        <w:t>საიპრესორით; დეტექტორით;</w:t>
      </w:r>
      <w:r w:rsidR="004558A4">
        <w:rPr>
          <w:rFonts w:ascii="Sylfaen" w:hAnsi="Sylfaen"/>
          <w:szCs w:val="20"/>
          <w:lang w:val="ka-GE"/>
        </w:rPr>
        <w:t xml:space="preserve"> </w:t>
      </w:r>
      <w:r w:rsidR="00D323DC">
        <w:rPr>
          <w:rFonts w:ascii="Sylfaen" w:hAnsi="Sylfaen"/>
          <w:szCs w:val="20"/>
          <w:lang w:val="ka-GE"/>
        </w:rPr>
        <w:t>ელუენტის მოსათავსებელი რეზერვუარით (რეზერვუარი აღჭურვილი უნდა იყოს ჰაერის ფილტრით);</w:t>
      </w:r>
      <w:r w:rsidR="003D7AAB">
        <w:rPr>
          <w:rFonts w:ascii="Sylfaen" w:hAnsi="Sylfaen"/>
          <w:szCs w:val="20"/>
          <w:lang w:val="ka-GE"/>
        </w:rPr>
        <w:t xml:space="preserve"> ელუენტის გენერატორით;</w:t>
      </w:r>
      <w:r w:rsidR="007141BB">
        <w:rPr>
          <w:rFonts w:ascii="Sylfaen" w:hAnsi="Sylfaen"/>
          <w:szCs w:val="20"/>
          <w:lang w:val="ka-GE"/>
        </w:rPr>
        <w:t xml:space="preserve"> დამცავი და საანალიზო სვეტების თერმოსტატით;</w:t>
      </w:r>
      <w:r w:rsidR="00D323DC">
        <w:rPr>
          <w:rFonts w:ascii="Sylfaen" w:hAnsi="Sylfaen"/>
          <w:szCs w:val="20"/>
          <w:lang w:val="ka-GE"/>
        </w:rPr>
        <w:t xml:space="preserve"> </w:t>
      </w:r>
      <w:r w:rsidR="004558A4">
        <w:rPr>
          <w:rFonts w:ascii="Sylfaen" w:hAnsi="Sylfaen"/>
          <w:szCs w:val="20"/>
          <w:lang w:val="ka-GE"/>
        </w:rPr>
        <w:t>როზეტის ტიპი: ევროპულ როზეტთან ადაფტირებული; ძაბვა 220 – 250 ვოლტი (1 ფაზა, 1 ნეიტრალი, ერთი დამიწების სადენი);</w:t>
      </w:r>
    </w:p>
    <w:p w:rsidR="00610B2A" w:rsidRPr="00610B2A" w:rsidRDefault="00610B2A" w:rsidP="00B43752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>ავტოსემპლერი</w:t>
      </w:r>
      <w:r w:rsidR="00177CBB">
        <w:rPr>
          <w:rFonts w:ascii="Sylfaen" w:hAnsi="Sylfaen"/>
          <w:szCs w:val="20"/>
          <w:lang w:val="ka-GE"/>
        </w:rPr>
        <w:t>;</w:t>
      </w:r>
      <w:r w:rsidR="004558A4">
        <w:rPr>
          <w:rFonts w:ascii="Sylfaen" w:hAnsi="Sylfaen"/>
          <w:szCs w:val="20"/>
          <w:lang w:val="ka-GE"/>
        </w:rPr>
        <w:t xml:space="preserve"> როზეტის ტიპი: ევროპულ როზეტთან ადაფტირებული; ძაბვა 220 – 250 ვოლტი (1 ფაზა, 1 ნეიტრალი, ერთი დამიწების სადენი);</w:t>
      </w:r>
      <w:r w:rsidR="00A66C98">
        <w:rPr>
          <w:rFonts w:ascii="Sylfaen" w:hAnsi="Sylfaen"/>
          <w:szCs w:val="20"/>
          <w:lang w:val="ka-GE"/>
        </w:rPr>
        <w:t xml:space="preserve"> 500 ერთეული ვიალით; 500 ერთეული ვიალის თავაკით.</w:t>
      </w:r>
    </w:p>
    <w:p w:rsidR="00610B2A" w:rsidRDefault="00610B2A" w:rsidP="00B4375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ხელსაწყოს სამართავი კომპიუტერის ნაკრებით (პროცესორი, მონიტორი, პრინტერი, კლავიატურა, მაუსი); ხელსაწყოს კომპიუტერთან დამაკავშირებელი კაბელით; </w:t>
      </w:r>
      <w:r w:rsidR="004558A4">
        <w:rPr>
          <w:rFonts w:ascii="Sylfaen" w:hAnsi="Sylfaen"/>
          <w:szCs w:val="20"/>
          <w:lang w:val="ka-GE"/>
        </w:rPr>
        <w:t>როზეტების ტიპი: ევროპულ როზეტებთანთან ადაფტირებული; ძაბვა 220 – 250 ვოლტი (ყველა ელ. სადენში 1 ფაზა, 1 ნეიტრალი, 1 დამიწების სადენი);</w:t>
      </w:r>
    </w:p>
    <w:p w:rsidR="00610B2A" w:rsidRPr="007141BB" w:rsidRDefault="00610B2A" w:rsidP="00B43752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lang w:val="ka-GE"/>
        </w:rPr>
        <w:t xml:space="preserve">შესაბამისი პროგრამული </w:t>
      </w:r>
      <w:r w:rsidRPr="00610B2A">
        <w:rPr>
          <w:rFonts w:ascii="Sylfaen" w:hAnsi="Sylfaen"/>
          <w:lang w:val="ka-GE"/>
        </w:rPr>
        <w:t>უზრუნველყოფით</w:t>
      </w:r>
      <w:r>
        <w:rPr>
          <w:rFonts w:ascii="Sylfaen" w:hAnsi="Sylfaen"/>
          <w:lang w:val="ka-GE"/>
        </w:rPr>
        <w:t xml:space="preserve"> </w:t>
      </w:r>
      <w:r w:rsidRPr="00610B2A">
        <w:rPr>
          <w:rFonts w:ascii="Sylfaen" w:hAnsi="Sylfaen"/>
          <w:lang w:val="ka-GE"/>
        </w:rPr>
        <w:t>(ხელსაწყოს მწარმოებლის ლიცენზიით);</w:t>
      </w:r>
    </w:p>
    <w:p w:rsidR="007141BB" w:rsidRPr="000368F1" w:rsidRDefault="007141BB" w:rsidP="00B43752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lang w:val="ka-GE"/>
        </w:rPr>
        <w:lastRenderedPageBreak/>
        <w:t>სახელმძღვანელოებით, როგორც ელექტრონული ისე ბეჭდური სახით; მათ შორის ქრომატოგრაფის მომხმარებლის სახელმძღვანელო, ქრომატოგრაფის მომსახურების სახელმძღვანელო, ავტოსემპლერის მომხმარებლის სახელმძღვანელო, ავტოსემპლერის მომსახურების სახელმძღვანელო, პროგრამული უზრუნველყოფის მომხმარებლის სახელმძღვანელო; სახელმძღვანელოები უნდა იყოს ან მშობლიურ (ქართულ), ან ინგლისურ ან რუსულ ენ</w:t>
      </w:r>
      <w:r w:rsidR="00A4092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ზე. </w:t>
      </w:r>
    </w:p>
    <w:p w:rsidR="000368F1" w:rsidRPr="000368F1" w:rsidRDefault="000368F1" w:rsidP="00B4375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027885">
        <w:rPr>
          <w:rFonts w:ascii="Sylfaen" w:eastAsia="Times New Roman" w:hAnsi="Sylfaen" w:cs="Arial"/>
          <w:bCs/>
          <w:lang w:val="ka-GE"/>
        </w:rPr>
        <w:t>აღჭურვილობის ზომების, წონის და სპეციფიკაციის გათვალისწინებით, სრული კომპლექტაციის მოსათავსებელი</w:t>
      </w:r>
      <w:r>
        <w:rPr>
          <w:rFonts w:ascii="Sylfaen" w:eastAsia="Times New Roman" w:hAnsi="Sylfaen" w:cs="Arial"/>
          <w:bCs/>
          <w:lang w:val="ka-GE"/>
        </w:rPr>
        <w:t xml:space="preserve"> </w:t>
      </w:r>
      <w:r w:rsidRPr="00027885">
        <w:rPr>
          <w:rFonts w:ascii="Sylfaen" w:eastAsia="Times New Roman" w:hAnsi="Sylfaen" w:cs="Arial"/>
          <w:bCs/>
          <w:lang w:val="ka-GE"/>
        </w:rPr>
        <w:t>მაგიდით;</w:t>
      </w:r>
      <w:r w:rsidR="002F02AD">
        <w:rPr>
          <w:rFonts w:ascii="Sylfaen" w:eastAsia="Times New Roman" w:hAnsi="Sylfaen" w:cs="Arial"/>
          <w:bCs/>
        </w:rPr>
        <w:t xml:space="preserve"> მაგიდას უნდა ქონდეს უჯრები და თაროები.</w:t>
      </w:r>
    </w:p>
    <w:p w:rsidR="00A35EB3" w:rsidRPr="001F0364" w:rsidRDefault="001F0364" w:rsidP="00B4375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1F0364">
        <w:rPr>
          <w:rFonts w:ascii="Sylfaen" w:hAnsi="Sylfaen"/>
          <w:lang w:val="ka-GE"/>
        </w:rPr>
        <w:t xml:space="preserve">საკვალიფიკაციო და მეთოდების შესაბამისი, სერთიფიცირებული, </w:t>
      </w:r>
      <w:r w:rsidRPr="001F0364">
        <w:rPr>
          <w:rFonts w:ascii="Sylfaen" w:hAnsi="Sylfaen"/>
        </w:rPr>
        <w:t>NIST-</w:t>
      </w:r>
      <w:r w:rsidRPr="001F0364">
        <w:rPr>
          <w:rFonts w:ascii="Sylfaen" w:hAnsi="Sylfaen"/>
          <w:lang w:val="ka-GE"/>
        </w:rPr>
        <w:t xml:space="preserve">ამდე მიკვლევადი დასაკალიბრებელი სტანდარტული ხსნარებით; </w:t>
      </w:r>
    </w:p>
    <w:p w:rsidR="00B43752" w:rsidRPr="00B43752" w:rsidRDefault="00A35EB3" w:rsidP="00B4375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ცხრილ</w:t>
      </w:r>
      <w:r>
        <w:rPr>
          <w:rFonts w:ascii="Sylfaen" w:hAnsi="Sylfaen"/>
        </w:rPr>
        <w:t>N1 _ში</w:t>
      </w:r>
      <w:r>
        <w:rPr>
          <w:rFonts w:ascii="Sylfaen" w:hAnsi="Sylfaen"/>
          <w:lang w:val="ka-GE"/>
        </w:rPr>
        <w:t xml:space="preserve"> ჩამოთვლილი </w:t>
      </w:r>
      <w:r>
        <w:rPr>
          <w:rFonts w:ascii="Sylfaen" w:hAnsi="Sylfaen"/>
        </w:rPr>
        <w:t>იონების</w:t>
      </w:r>
      <w:r>
        <w:rPr>
          <w:rFonts w:ascii="Sylfaen" w:hAnsi="Sylfaen"/>
          <w:lang w:val="ka-GE"/>
        </w:rPr>
        <w:t xml:space="preserve"> კონცენტრაციის განსასაზღვრი </w:t>
      </w:r>
      <w:r w:rsidR="002F02AD">
        <w:rPr>
          <w:rFonts w:ascii="Sylfaen" w:hAnsi="Sylfaen"/>
          <w:lang w:val="ka-GE"/>
        </w:rPr>
        <w:t xml:space="preserve">საერთაშორისოდ აღიარებული </w:t>
      </w:r>
      <w:r w:rsidR="002F02AD" w:rsidRPr="00D96906">
        <w:rPr>
          <w:rFonts w:ascii="Sylfaen" w:hAnsi="Sylfaen"/>
          <w:lang w:val="ka-GE"/>
        </w:rPr>
        <w:t>სტანდარტული მეთოდებით</w:t>
      </w:r>
      <w:r w:rsidR="002F02AD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(</w:t>
      </w:r>
      <w:r>
        <w:rPr>
          <w:rFonts w:ascii="Sylfaen" w:hAnsi="Sylfaen"/>
          <w:lang w:val="ka-GE"/>
        </w:rPr>
        <w:t>მეთოდის აღმოჩენის ზღვრები უნდა მოიცავდეს იმ სიდიდეებს რაც მოცემულია ცხრილ</w:t>
      </w:r>
      <w:r>
        <w:rPr>
          <w:rFonts w:ascii="Sylfaen" w:hAnsi="Sylfaen"/>
        </w:rPr>
        <w:t>N1 _ში)</w:t>
      </w:r>
      <w:r>
        <w:rPr>
          <w:rFonts w:ascii="Sylfaen" w:hAnsi="Sylfaen"/>
          <w:lang w:val="ka-GE"/>
        </w:rPr>
        <w:t>; მეთოდების დანერგვით.</w:t>
      </w:r>
      <w:r w:rsidR="00884AE2" w:rsidRPr="00382E05">
        <w:rPr>
          <w:rFonts w:ascii="Sylfaen" w:hAnsi="Sylfaen"/>
          <w:lang w:val="ka-GE"/>
        </w:rPr>
        <w:t xml:space="preserve"> </w:t>
      </w:r>
    </w:p>
    <w:p w:rsidR="00A35EB3" w:rsidRPr="00B43752" w:rsidRDefault="0099464A" w:rsidP="00B4375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B43752">
        <w:rPr>
          <w:rFonts w:ascii="Sylfaen" w:hAnsi="Sylfaen"/>
          <w:lang w:val="ka-GE"/>
        </w:rPr>
        <w:t>იმ შემთხვევაში, თუ მეთოდების დანერგვა და მინიმუმ ერთწლიანი შესრულება მოითხოვს თანმხლებ მასალებს, დამხმარე აღჭურვილობას და ხსნარებ</w:t>
      </w:r>
      <w:r w:rsidR="00382E05" w:rsidRPr="00B43752">
        <w:rPr>
          <w:rFonts w:ascii="Sylfaen" w:hAnsi="Sylfaen"/>
          <w:lang w:val="ka-GE"/>
        </w:rPr>
        <w:t>ს</w:t>
      </w:r>
      <w:r w:rsidRPr="00B43752">
        <w:rPr>
          <w:rFonts w:ascii="Sylfaen" w:hAnsi="Sylfaen"/>
          <w:lang w:val="ka-GE"/>
        </w:rPr>
        <w:t xml:space="preserve">, </w:t>
      </w:r>
      <w:r w:rsidR="00884AE2" w:rsidRPr="00B43752">
        <w:rPr>
          <w:rFonts w:ascii="Sylfaen" w:hAnsi="Sylfaen"/>
          <w:lang w:val="ka-GE"/>
        </w:rPr>
        <w:t>წინასწარ უნდა მოხდეს შემსყიდველის ინფორმირება წერილობითი</w:t>
      </w:r>
      <w:r w:rsidR="00382E05" w:rsidRPr="00B43752">
        <w:rPr>
          <w:rFonts w:ascii="Sylfaen" w:hAnsi="Sylfaen"/>
          <w:lang w:val="ka-GE"/>
        </w:rPr>
        <w:t xml:space="preserve"> ან ელექტრონული</w:t>
      </w:r>
      <w:r w:rsidR="00884AE2" w:rsidRPr="00B43752">
        <w:rPr>
          <w:rFonts w:ascii="Sylfaen" w:hAnsi="Sylfaen"/>
          <w:lang w:val="ka-GE"/>
        </w:rPr>
        <w:t xml:space="preserve"> სახით</w:t>
      </w:r>
      <w:r w:rsidRPr="00B43752">
        <w:rPr>
          <w:rFonts w:ascii="Sylfaen" w:hAnsi="Sylfaen"/>
          <w:lang w:val="ka-GE"/>
        </w:rPr>
        <w:t xml:space="preserve"> სატენდერო შემოთავაზებასთან ერთად!</w:t>
      </w:r>
      <w:r w:rsidR="00884AE2" w:rsidRPr="00B43752">
        <w:rPr>
          <w:rFonts w:ascii="Sylfaen" w:hAnsi="Sylfaen"/>
          <w:lang w:val="ka-GE"/>
        </w:rPr>
        <w:t xml:space="preserve"> წინააღმდეგ შემთხვევაში</w:t>
      </w:r>
      <w:r w:rsidR="00382E05" w:rsidRPr="00B43752">
        <w:rPr>
          <w:rFonts w:ascii="Sylfaen" w:hAnsi="Sylfaen"/>
          <w:lang w:val="ka-GE"/>
        </w:rPr>
        <w:t>, წარმოშობილ ხა</w:t>
      </w:r>
      <w:r w:rsidR="00FD7C30" w:rsidRPr="00B43752">
        <w:rPr>
          <w:rFonts w:ascii="Sylfaen" w:hAnsi="Sylfaen"/>
          <w:lang w:val="ka-GE"/>
        </w:rPr>
        <w:t>რ</w:t>
      </w:r>
      <w:r w:rsidR="00382E05" w:rsidRPr="00B43752">
        <w:rPr>
          <w:rFonts w:ascii="Sylfaen" w:hAnsi="Sylfaen"/>
          <w:lang w:val="ka-GE"/>
        </w:rPr>
        <w:t>ვეზზე</w:t>
      </w:r>
      <w:r w:rsidR="00884AE2" w:rsidRPr="00B43752">
        <w:rPr>
          <w:rFonts w:ascii="Sylfaen" w:hAnsi="Sylfaen"/>
          <w:lang w:val="ka-GE"/>
        </w:rPr>
        <w:t xml:space="preserve"> პასუხისმგებლობა ეკისრება </w:t>
      </w:r>
      <w:r w:rsidRPr="00B43752">
        <w:rPr>
          <w:rFonts w:ascii="Sylfaen" w:hAnsi="Sylfaen"/>
          <w:lang w:val="ka-GE"/>
        </w:rPr>
        <w:t>მომწოდებელს</w:t>
      </w:r>
      <w:r w:rsidR="00884AE2" w:rsidRPr="00B43752">
        <w:rPr>
          <w:rFonts w:ascii="Sylfaen" w:hAnsi="Sylfaen"/>
          <w:lang w:val="ka-GE"/>
        </w:rPr>
        <w:t xml:space="preserve"> და განიხილება როგორც ხელშეკრულების დარღვევა</w:t>
      </w:r>
      <w:r w:rsidR="00B43752" w:rsidRPr="00B43752">
        <w:rPr>
          <w:rFonts w:ascii="Sylfaen" w:hAnsi="Sylfaen"/>
          <w:lang w:val="ka-GE"/>
        </w:rPr>
        <w:t>.</w:t>
      </w:r>
    </w:p>
    <w:p w:rsidR="00A35EB3" w:rsidRPr="00985290" w:rsidRDefault="00A35EB3" w:rsidP="00B43752">
      <w:pPr>
        <w:pStyle w:val="ListParagraph"/>
        <w:ind w:left="780"/>
        <w:jc w:val="both"/>
        <w:rPr>
          <w:rFonts w:ascii="Sylfaen" w:hAnsi="Sylfaen"/>
          <w:b/>
          <w:szCs w:val="20"/>
          <w:highlight w:val="yellow"/>
          <w:lang w:val="ka-GE"/>
        </w:rPr>
      </w:pPr>
    </w:p>
    <w:p w:rsidR="00092540" w:rsidRDefault="00092540" w:rsidP="00B4375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სარეზერვო სათადარიგო ნაწილები:</w:t>
      </w:r>
      <w:r w:rsidR="00985290">
        <w:rPr>
          <w:rFonts w:ascii="Sylfaen" w:hAnsi="Sylfaen"/>
          <w:b/>
          <w:lang w:val="ka-GE"/>
        </w:rPr>
        <w:t xml:space="preserve"> </w:t>
      </w:r>
      <w:r w:rsidR="00985290" w:rsidRPr="00985290">
        <w:rPr>
          <w:rFonts w:ascii="Sylfaen" w:hAnsi="Sylfaen"/>
          <w:lang w:val="ka-GE"/>
        </w:rPr>
        <w:t>ვ</w:t>
      </w:r>
      <w:r w:rsidR="00985290">
        <w:rPr>
          <w:rFonts w:ascii="Sylfaen" w:hAnsi="Sylfaen"/>
          <w:lang w:val="ka-GE"/>
        </w:rPr>
        <w:t>იალები; ვიალების თავაკები; საანალიზო და დამცავი სვეტები; საიპრესორი; ქრომატოგრაფის მომსახურების ნაკრები; ავტოსემპლერის მომსახურების ნაკრები.</w:t>
      </w:r>
      <w:bookmarkStart w:id="0" w:name="_GoBack"/>
      <w:bookmarkEnd w:id="0"/>
    </w:p>
    <w:p w:rsidR="00884AE2" w:rsidRDefault="00092540" w:rsidP="00B43752">
      <w:pPr>
        <w:jc w:val="both"/>
        <w:rPr>
          <w:rFonts w:ascii="Sylfaen" w:hAnsi="Sylfaen"/>
          <w:szCs w:val="20"/>
          <w:lang w:val="ka-GE"/>
        </w:rPr>
      </w:pPr>
      <w:r>
        <w:rPr>
          <w:rFonts w:ascii="Sylfaen" w:hAnsi="Sylfaen"/>
          <w:b/>
          <w:lang w:val="ka-GE"/>
        </w:rPr>
        <w:t>დამატებითი მოთხოვნები:</w:t>
      </w:r>
      <w:r w:rsidR="00B82280">
        <w:rPr>
          <w:rFonts w:ascii="Sylfaen" w:hAnsi="Sylfaen"/>
          <w:b/>
          <w:lang w:val="ka-GE"/>
        </w:rPr>
        <w:t xml:space="preserve"> </w:t>
      </w:r>
      <w:r w:rsidR="00B82280" w:rsidRPr="00B82280">
        <w:rPr>
          <w:rFonts w:ascii="Sylfaen" w:hAnsi="Sylfaen"/>
          <w:szCs w:val="20"/>
          <w:lang w:val="ka-GE"/>
        </w:rPr>
        <w:t>ელ. კვების წერტილების მოდერნიზება ხელსაწყოს ლოკაციის</w:t>
      </w:r>
      <w:r w:rsidR="00B82280" w:rsidRPr="00B82280">
        <w:rPr>
          <w:rFonts w:ascii="Sylfaen" w:hAnsi="Sylfaen"/>
          <w:szCs w:val="20"/>
        </w:rPr>
        <w:t xml:space="preserve"> </w:t>
      </w:r>
      <w:r w:rsidR="00B82280" w:rsidRPr="00B82280">
        <w:rPr>
          <w:rFonts w:ascii="Sylfaen" w:hAnsi="Sylfaen"/>
          <w:szCs w:val="20"/>
          <w:lang w:val="ka-GE"/>
        </w:rPr>
        <w:t>მიხედვით; ხელსაწყოს ლოკაციის ადგილზე ინსტალაცია</w:t>
      </w:r>
      <w:r w:rsidR="000D4C34">
        <w:rPr>
          <w:rFonts w:ascii="Sylfaen" w:hAnsi="Sylfaen"/>
          <w:szCs w:val="20"/>
          <w:lang w:val="ka-GE"/>
        </w:rPr>
        <w:t>. ინსტალაციაში იგულისხმება ხელსაწყოს ამ ტექნიკური დავალებით გათვალისწინებული აღჭურვილობის ელ. კვების წერტილებთან მიერთება, აღჭურვილობაში შემავალი კომპონენტების ერთმანეთთან დაკავშირება, პროგრამული უზრუნველყოფის დაყენება, ყველა საჭირო დრაივერის დაყენება, ვალიდაციის და ვერიფიკაციის პროცედურის შესრულება</w:t>
      </w:r>
      <w:r w:rsidR="00B82280" w:rsidRPr="00B82280">
        <w:rPr>
          <w:rFonts w:ascii="Sylfaen" w:hAnsi="Sylfaen"/>
          <w:szCs w:val="20"/>
          <w:lang w:val="ka-GE"/>
        </w:rPr>
        <w:t>; ოპერატორების სწავლება მშობლიურ(ქართულ) ენაზე</w:t>
      </w:r>
      <w:r w:rsidR="000D4C34">
        <w:rPr>
          <w:rFonts w:ascii="Sylfaen" w:hAnsi="Sylfaen"/>
          <w:szCs w:val="20"/>
          <w:lang w:val="ka-GE"/>
        </w:rPr>
        <w:t>; სწავლების შემდგომ სერთიფიცირება მინიმუმ ხუთი ოპერატორის (ოპერატორების ვინაობას განსაზღვრავს შემსყიდველი</w:t>
      </w:r>
      <w:r w:rsidR="002B29E8">
        <w:rPr>
          <w:rFonts w:ascii="Sylfaen" w:hAnsi="Sylfaen"/>
          <w:szCs w:val="20"/>
          <w:lang w:val="ka-GE"/>
        </w:rPr>
        <w:t>);</w:t>
      </w:r>
    </w:p>
    <w:p w:rsidR="00884AE2" w:rsidRDefault="00884AE2" w:rsidP="00B43752">
      <w:pPr>
        <w:jc w:val="both"/>
        <w:rPr>
          <w:rFonts w:ascii="Sylfaen" w:hAnsi="Sylfaen"/>
          <w:szCs w:val="20"/>
          <w:lang w:val="ka-GE"/>
        </w:rPr>
      </w:pPr>
      <w:r w:rsidRPr="00B43752">
        <w:rPr>
          <w:rFonts w:ascii="Sylfaen" w:hAnsi="Sylfaen"/>
          <w:szCs w:val="20"/>
          <w:lang w:val="ka-GE"/>
        </w:rPr>
        <w:t>იმ შემთხვევაში, თუ ხელსაწყო/აღჭურვილობის ინსტალაცია მოითხოვს სამონტაჟო ადგილის წინასწარ მომზადებას, ამის შესახებ უნდა ეცნობოს შემსყიდველს წერილობითი</w:t>
      </w:r>
      <w:r w:rsidR="00382E05" w:rsidRPr="00B43752">
        <w:rPr>
          <w:rFonts w:ascii="Sylfaen" w:hAnsi="Sylfaen"/>
          <w:szCs w:val="20"/>
          <w:lang w:val="ka-GE"/>
        </w:rPr>
        <w:t xml:space="preserve"> ან ელექტრონული</w:t>
      </w:r>
      <w:r w:rsidRPr="00B43752">
        <w:rPr>
          <w:rFonts w:ascii="Sylfaen" w:hAnsi="Sylfaen"/>
          <w:szCs w:val="20"/>
          <w:lang w:val="ka-GE"/>
        </w:rPr>
        <w:t xml:space="preserve"> ფორმით სატენდერო შემოთავაზებასთან ერთად! წინააღმდეგ შემთხვევაში ინსტალაციის დროს წარმოქმნილ ხარვეზებზე პასუხისმგებლობა ეკისრება მომწოდებელს და განიხილება როგორც ხელშეკრულების დარღვევა.</w:t>
      </w:r>
    </w:p>
    <w:p w:rsidR="00B82280" w:rsidRPr="00B82280" w:rsidRDefault="00B82280" w:rsidP="00B43752">
      <w:pPr>
        <w:jc w:val="both"/>
        <w:rPr>
          <w:rFonts w:ascii="Sylfaen" w:hAnsi="Sylfaen"/>
          <w:szCs w:val="20"/>
          <w:lang w:val="ka-GE"/>
        </w:rPr>
      </w:pPr>
      <w:r w:rsidRPr="00B43752">
        <w:rPr>
          <w:rFonts w:ascii="Sylfaen" w:hAnsi="Sylfaen"/>
          <w:b/>
          <w:szCs w:val="20"/>
          <w:lang w:val="ka-GE"/>
        </w:rPr>
        <w:t>სამწლიანი</w:t>
      </w:r>
      <w:r w:rsidRPr="00B82280">
        <w:rPr>
          <w:rFonts w:ascii="Sylfaen" w:hAnsi="Sylfaen"/>
          <w:szCs w:val="20"/>
          <w:lang w:val="ka-GE"/>
        </w:rPr>
        <w:t xml:space="preserve"> საგარანტიო მომსახურება.</w:t>
      </w:r>
    </w:p>
    <w:p w:rsidR="00B82280" w:rsidRPr="00B43752" w:rsidRDefault="00B82280" w:rsidP="00B43752">
      <w:pPr>
        <w:numPr>
          <w:ilvl w:val="0"/>
          <w:numId w:val="1"/>
        </w:numPr>
        <w:contextualSpacing/>
        <w:jc w:val="both"/>
        <w:rPr>
          <w:rFonts w:ascii="Sylfaen" w:hAnsi="Sylfaen"/>
          <w:b/>
          <w:szCs w:val="20"/>
          <w:lang w:val="ka-GE"/>
        </w:rPr>
      </w:pPr>
      <w:r w:rsidRPr="00B43752">
        <w:rPr>
          <w:rFonts w:ascii="Sylfaen" w:hAnsi="Sylfaen"/>
          <w:b/>
          <w:szCs w:val="20"/>
        </w:rPr>
        <w:lastRenderedPageBreak/>
        <w:t>საგარანტიო მომსახურების პირობები</w:t>
      </w:r>
      <w:r w:rsidRPr="00B43752">
        <w:rPr>
          <w:rFonts w:ascii="Sylfaen" w:hAnsi="Sylfaen"/>
          <w:b/>
          <w:szCs w:val="20"/>
          <w:lang w:val="ka-GE"/>
        </w:rPr>
        <w:t xml:space="preserve">: </w:t>
      </w:r>
      <w:r w:rsidRPr="00B43752">
        <w:rPr>
          <w:rFonts w:ascii="Sylfaen" w:hAnsi="Sylfaen"/>
          <w:szCs w:val="20"/>
          <w:lang w:val="ka-GE"/>
        </w:rPr>
        <w:t>მწარმოებლის მხრიდან დროული დისტანციური მხარდაჭერის აღმოჩენა. მომხმარებლის სახელმძღვანელოს ან სხვა საჭირო დოკუმენტაციის დროული მოწოდება, სერვის-ინჟინრის უკუკავშირი, სატელეფონო და ელექტრონული კონსულტაცია, teamviewer</w:t>
      </w:r>
      <w:r w:rsidRPr="00B43752">
        <w:rPr>
          <w:rFonts w:ascii="Sylfaen" w:hAnsi="Sylfaen"/>
          <w:szCs w:val="20"/>
        </w:rPr>
        <w:t>_</w:t>
      </w:r>
      <w:r w:rsidRPr="00B43752">
        <w:rPr>
          <w:rFonts w:ascii="Sylfaen" w:hAnsi="Sylfaen"/>
          <w:szCs w:val="20"/>
          <w:lang w:val="ka-GE"/>
        </w:rPr>
        <w:t>ით ან მსგავსი აპლიკაციით დახმარების აღმოჩენა</w:t>
      </w:r>
      <w:r w:rsidRPr="00B43752">
        <w:rPr>
          <w:rFonts w:ascii="Sylfaen" w:hAnsi="Sylfaen"/>
          <w:szCs w:val="20"/>
        </w:rPr>
        <w:t>. საჭიროების შემთხვევაში ხელსაწყოს ლოკაციის ადგილზე სერთიფიცირებული სერვისინჟინრის დროული ვიზიტი.</w:t>
      </w:r>
      <w:r w:rsidRPr="00B43752">
        <w:rPr>
          <w:rFonts w:ascii="Sylfaen" w:hAnsi="Sylfaen"/>
          <w:szCs w:val="20"/>
          <w:lang w:val="ka-GE"/>
        </w:rPr>
        <w:t xml:space="preserve"> არასახარჯი ნაწილის დაზიანების შემთხვევაში ხელსაწყოს გამოცვლა ან რემონტი სერთიფიცირებული სერვისინჟინრის მიერ. საგარანტიო პერიოდში გეგმიური სერვის მომსახურების გაწევა</w:t>
      </w:r>
      <w:r w:rsidR="00E70F5C" w:rsidRPr="00B43752">
        <w:rPr>
          <w:rFonts w:ascii="Sylfaen" w:hAnsi="Sylfaen"/>
          <w:szCs w:val="20"/>
          <w:lang w:val="ka-GE"/>
        </w:rPr>
        <w:t xml:space="preserve"> შესაბამისი მასალების ჩათვლით;</w:t>
      </w:r>
      <w:r w:rsidR="00B43752" w:rsidRPr="00B43752">
        <w:rPr>
          <w:rFonts w:ascii="Sylfaen" w:hAnsi="Sylfaen"/>
          <w:szCs w:val="20"/>
          <w:lang w:val="ka-GE"/>
        </w:rPr>
        <w:t xml:space="preserve"> </w:t>
      </w:r>
      <w:r w:rsidRPr="00B43752">
        <w:rPr>
          <w:rFonts w:ascii="Sylfaen" w:hAnsi="Sylfaen"/>
          <w:szCs w:val="20"/>
          <w:lang w:val="ka-GE"/>
        </w:rPr>
        <w:t>საგარანტიო მოქმედების პერიოდი: ხელსაწყოს ინსტალაციიდან ან მიღება/ჩაბარების აქტის გაფორმებიდან სამი წლის განმავლობაში.</w:t>
      </w:r>
      <w:r w:rsidR="002B29E8" w:rsidRPr="00B43752">
        <w:rPr>
          <w:rFonts w:ascii="Sylfaen" w:hAnsi="Sylfaen"/>
          <w:szCs w:val="20"/>
          <w:lang w:val="ka-GE"/>
        </w:rPr>
        <w:t xml:space="preserve"> იმ შემთხვევაში თუ ვერ ხერხდება ხელსაწყოს გამოყენება საგარანტიო პერიოდში და გაუმართაობის მიზეზი იფარება საგარანტიო პირობებით, მაშინ გაცდენილი დღეები დაემატება საგარანტიო პერიოდს. </w:t>
      </w:r>
    </w:p>
    <w:p w:rsidR="00092540" w:rsidRPr="00B82280" w:rsidRDefault="00092540" w:rsidP="00B43752">
      <w:pPr>
        <w:jc w:val="both"/>
        <w:rPr>
          <w:b/>
          <w:sz w:val="28"/>
          <w:szCs w:val="28"/>
        </w:rPr>
      </w:pPr>
    </w:p>
    <w:sectPr w:rsidR="00092540" w:rsidRPr="00B82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7A2"/>
    <w:multiLevelType w:val="hybridMultilevel"/>
    <w:tmpl w:val="624A3DAE"/>
    <w:lvl w:ilvl="0" w:tplc="8B56DFA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436A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908E9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2E86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7064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101D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4E35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B42A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8429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793A40"/>
    <w:multiLevelType w:val="hybridMultilevel"/>
    <w:tmpl w:val="B6C09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762"/>
    <w:multiLevelType w:val="hybridMultilevel"/>
    <w:tmpl w:val="A5A2B284"/>
    <w:lvl w:ilvl="0" w:tplc="FD66004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9DA5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CAD3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909D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22EF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FECF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7470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002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E638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35316B9"/>
    <w:multiLevelType w:val="hybridMultilevel"/>
    <w:tmpl w:val="C0DEA76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AA"/>
    <w:rsid w:val="000368F1"/>
    <w:rsid w:val="00081A3A"/>
    <w:rsid w:val="0008528B"/>
    <w:rsid w:val="00092540"/>
    <w:rsid w:val="000D4C34"/>
    <w:rsid w:val="00124475"/>
    <w:rsid w:val="00142FBF"/>
    <w:rsid w:val="00161381"/>
    <w:rsid w:val="00177CBB"/>
    <w:rsid w:val="00190B72"/>
    <w:rsid w:val="00197F56"/>
    <w:rsid w:val="001D3510"/>
    <w:rsid w:val="001F0364"/>
    <w:rsid w:val="002136EB"/>
    <w:rsid w:val="00222FCD"/>
    <w:rsid w:val="0027641A"/>
    <w:rsid w:val="002B29E8"/>
    <w:rsid w:val="002B7320"/>
    <w:rsid w:val="002E6C94"/>
    <w:rsid w:val="002F02AD"/>
    <w:rsid w:val="00382E05"/>
    <w:rsid w:val="003C144E"/>
    <w:rsid w:val="003D7AAB"/>
    <w:rsid w:val="00440978"/>
    <w:rsid w:val="004558A4"/>
    <w:rsid w:val="0045731F"/>
    <w:rsid w:val="00463787"/>
    <w:rsid w:val="00477225"/>
    <w:rsid w:val="004C756C"/>
    <w:rsid w:val="004F4E05"/>
    <w:rsid w:val="00556CC0"/>
    <w:rsid w:val="00581280"/>
    <w:rsid w:val="00590499"/>
    <w:rsid w:val="005915AA"/>
    <w:rsid w:val="005B13F6"/>
    <w:rsid w:val="00610B2A"/>
    <w:rsid w:val="0062753E"/>
    <w:rsid w:val="00682EE5"/>
    <w:rsid w:val="00696651"/>
    <w:rsid w:val="006B1753"/>
    <w:rsid w:val="007141BB"/>
    <w:rsid w:val="00767F51"/>
    <w:rsid w:val="0082737E"/>
    <w:rsid w:val="00870D1C"/>
    <w:rsid w:val="0087624B"/>
    <w:rsid w:val="00884AE2"/>
    <w:rsid w:val="008F2D28"/>
    <w:rsid w:val="009713C6"/>
    <w:rsid w:val="00985290"/>
    <w:rsid w:val="0099464A"/>
    <w:rsid w:val="009B547D"/>
    <w:rsid w:val="009D3FE9"/>
    <w:rsid w:val="009E42DB"/>
    <w:rsid w:val="00A35EB3"/>
    <w:rsid w:val="00A4092C"/>
    <w:rsid w:val="00A52BD3"/>
    <w:rsid w:val="00A66C98"/>
    <w:rsid w:val="00AB1BDB"/>
    <w:rsid w:val="00B02655"/>
    <w:rsid w:val="00B07165"/>
    <w:rsid w:val="00B106D9"/>
    <w:rsid w:val="00B15424"/>
    <w:rsid w:val="00B43752"/>
    <w:rsid w:val="00B82280"/>
    <w:rsid w:val="00C054F4"/>
    <w:rsid w:val="00C36E20"/>
    <w:rsid w:val="00D323DC"/>
    <w:rsid w:val="00D57D50"/>
    <w:rsid w:val="00E56178"/>
    <w:rsid w:val="00E70F5C"/>
    <w:rsid w:val="00EC61E2"/>
    <w:rsid w:val="00F07778"/>
    <w:rsid w:val="00F92F77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E986"/>
  <w15:chartTrackingRefBased/>
  <w15:docId w15:val="{6B12F36E-B471-457E-8508-D8232E2F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24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F2D2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6B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 Aladashvili</dc:creator>
  <cp:keywords/>
  <dc:description/>
  <cp:lastModifiedBy>Tamar Nikuradze</cp:lastModifiedBy>
  <cp:revision>3</cp:revision>
  <dcterms:created xsi:type="dcterms:W3CDTF">2021-02-06T07:39:00Z</dcterms:created>
  <dcterms:modified xsi:type="dcterms:W3CDTF">2021-02-08T05:54:00Z</dcterms:modified>
</cp:coreProperties>
</file>